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3935FE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829300" cy="80105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0105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 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ПОЛОЖЕНИЕ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о комиссии по трудовым спорам МАОУ </w:t>
      </w:r>
      <w:r>
        <w:rPr>
          <w:rStyle w:val="C3"/>
          <w:rFonts w:ascii="Times New Roman" w:hAnsi="Times New Roman"/>
          <w:b w:val="1"/>
          <w:sz w:val="24"/>
        </w:rPr>
        <w:t>СОШ № 212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1. Общие положения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pStyle w:val="P1"/>
        <w:tabs>
          <w:tab w:val="left" w:pos="709" w:leader="none"/>
        </w:tabs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1.1. Настоящее Положение определяет компетенцию, порядок формирования и работы Комиссии по трудовым спорам (далее - КТС), совместно созданной администрацией МАОУ СОШ № 212 (далее – Учреждение) и трудовым коллективом Учреждения для урегулирования индивидуальных трудовых споров, возникающих между Работниками, работающими по трудовому договору и Работодателем. </w:t>
      </w:r>
    </w:p>
    <w:p>
      <w:pPr>
        <w:pStyle w:val="P1"/>
        <w:tabs>
          <w:tab w:val="left" w:pos="709" w:leader="none"/>
        </w:tabs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1.2. Настоящее Положение разработано в соответствии с положениями Конституции РФ и нормами Трудового кодекса РФ</w:t>
      </w:r>
      <w:bookmarkStart w:id="0" w:name="sub_1252"/>
      <w:r>
        <w:rPr>
          <w:rStyle w:val="C3"/>
          <w:rFonts w:ascii="Times New Roman" w:hAnsi="Times New Roman"/>
          <w:sz w:val="24"/>
        </w:rPr>
        <w:t>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bookmarkEnd w:id="0"/>
      <w:r>
        <w:rPr>
          <w:rStyle w:val="C3"/>
          <w:rFonts w:ascii="Times New Roman" w:hAnsi="Times New Roman"/>
          <w:sz w:val="24"/>
        </w:rPr>
        <w:t> </w:t>
      </w:r>
    </w:p>
    <w:p>
      <w:pPr>
        <w:pStyle w:val="P1"/>
        <w:numPr>
          <w:ilvl w:val="0"/>
          <w:numId w:val="2"/>
        </w:num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Компетенция комиссии по трудовым спорам</w:t>
      </w:r>
    </w:p>
    <w:p>
      <w:pPr>
        <w:pStyle w:val="P1"/>
        <w:spacing w:lineRule="auto" w:line="240" w:after="0"/>
        <w:ind w:left="72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2.1. КТС является органом по рассмотрению индивидуальных трудовых споров, возникающих в Учреждении.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2.2. Индивидуальным трудовым спором признаются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КТС.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2.3. 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2.4. КТС разрешает следующие споры: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о неприменении условий трудового договора, снижающих уровень прав и гарантий работника, установленный законодательством;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о правомерности изменения работодателем существенных условий трудового договора;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о предоставлении ежегодного оплачиваемого отпуска, предоставлении дополнительного времени отдыха в виде компенсации за работу в сверхурочное время;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об оплате сверхурочных работ, о выплате премий, доплате за совмещение профессий (должностей) или исполнение обязанностей временно отсутствующего работника без освобождения от своей основной работы;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об обоснованности применения дисциплинарных взысканий в виде замечания, выговора;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о неправомерном отстранении от работы;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о предоставлении льгот, предусмотренных трудовым договором;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  иные споры, кроме указанных в п. 2.5. Настоящего Положения;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2.5. КТС не рассматривает споры, разрешение которых законом отнесено к компетенции только суда (восстановление на работе, взыскание морального вреда и др.). В том случае, если работник обратился с заявлением в КТС о рассмотрении спора неподведомственного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 </w:t>
      </w:r>
    </w:p>
    <w:p>
      <w:pPr>
        <w:pStyle w:val="P1"/>
        <w:numPr>
          <w:ilvl w:val="0"/>
          <w:numId w:val="3"/>
        </w:num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Порядок формирования КТС</w:t>
      </w:r>
    </w:p>
    <w:p>
      <w:pPr>
        <w:pStyle w:val="P1"/>
        <w:spacing w:lineRule="auto" w:line="240" w:after="0"/>
        <w:ind w:left="72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3.1. КТС формируется на паритетных началах из равного числа представителей Работников и Работодателя. 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3.2. Представители работников в комиссию по трудовым спорам избираются на Общем собрании коллектива Учреждения.  Общее собрание коллектива Учреждения правомочно избирать членов КТС, если на его заседании присутствует не менее половины работающих в данном Учреждении работников. Общее собрание принимает решение большинством голосов присутствующих на собрании.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Членами КТС могут быть избраны любые работники независимо от членства в профсоюзе, занимаемой должности, выполняемой работы.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3.3. Представители Работодателя назначаются в комиссию приказом директора Учреждения. При назначении представителей Работодателя директору необходимо получить согласие работника на участие в работе КТС.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3.4. Директор Учреждения не может входить в состав КТС.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3.5. Члены КТС путем голосования избирают из своего состава председателя, заместителя председателя и секретаря комиссии. Они могут быть представителями Работодателя или представителями Работников.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3.6. Работники, избранные в состав КТС, освобождаются от выполнения трудовых обязанностей для участия в работе комиссии. За этот период им сохраняется средний заработок. 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Заседания КТС могут проводиться и в свободное для члена КТС время.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3.7. КТС создается на неопределенный срок. 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p>
      <w:pPr>
        <w:pStyle w:val="P1"/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 </w:t>
      </w:r>
    </w:p>
    <w:p>
      <w:pPr>
        <w:pStyle w:val="P1"/>
        <w:numPr>
          <w:ilvl w:val="0"/>
          <w:numId w:val="4"/>
        </w:numPr>
        <w:spacing w:lineRule="auto" w:line="30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Порядок обращения в КТС</w:t>
      </w:r>
    </w:p>
    <w:p>
      <w:pPr>
        <w:pStyle w:val="P1"/>
        <w:spacing w:lineRule="auto" w:line="240" w:after="0"/>
        <w:ind w:left="72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4.1. Право на обращение в КТС имеют:</w:t>
      </w:r>
    </w:p>
    <w:p>
      <w:pPr>
        <w:pStyle w:val="P1"/>
        <w:tabs>
          <w:tab w:val="left" w:pos="0" w:leader="none"/>
        </w:tabs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 работники, состоящие в штате Учреждения;</w:t>
      </w:r>
    </w:p>
    <w:p>
      <w:pPr>
        <w:pStyle w:val="P1"/>
        <w:tabs>
          <w:tab w:val="left" w:pos="0" w:leader="none"/>
        </w:tabs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>
      <w:pPr>
        <w:pStyle w:val="P1"/>
        <w:tabs>
          <w:tab w:val="left" w:pos="0" w:leader="none"/>
        </w:tabs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совместители;</w:t>
      </w:r>
    </w:p>
    <w:p>
      <w:pPr>
        <w:pStyle w:val="P1"/>
        <w:tabs>
          <w:tab w:val="left" w:pos="0" w:leader="none"/>
        </w:tabs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временные работники;</w:t>
      </w:r>
    </w:p>
    <w:p>
      <w:pPr>
        <w:pStyle w:val="P1"/>
        <w:tabs>
          <w:tab w:val="left" w:pos="0" w:leader="none"/>
        </w:tabs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сезонные работники;</w:t>
      </w:r>
    </w:p>
    <w:p>
      <w:pPr>
        <w:pStyle w:val="P1"/>
        <w:tabs>
          <w:tab w:val="left" w:pos="0" w:leader="none"/>
        </w:tabs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лица, приглашенные на работу в Учреждение из другой организации, по спорам, входящим в ее компетенцию;</w:t>
      </w:r>
    </w:p>
    <w:p>
      <w:pPr>
        <w:pStyle w:val="P1"/>
        <w:tabs>
          <w:tab w:val="left" w:pos="0" w:leader="none"/>
        </w:tabs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студенты вузов, учащиеся средних профессиональных учебных заведений, проходящие в Учреждении производственную практику и зачисленные по трудовому договору на рабочие места.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4.2. 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4.3. Работник может обратиться в КТС в трехмесячный срок со дня, когда он узнал или должен был узнать о нарушении своего права. 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месяца. Если последний день срока приходится на нерабочий день, то днем окончания срока считается ближайший следующий за ним рабочий.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В случае пропуска установленного срока по уважительным причинам КТС может восстановить срок и разрешить спор по существу. 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4.4. 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4.5. Заявление работника, поступившее в КТС, подлежит обязательной регистрации в специальном журнале, который ведет секретарь КТС. 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4.6. Отказ в приеме заявления по мотивам пропуска работником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5.</w:t>
      </w:r>
      <w:r>
        <w:rPr>
          <w:rStyle w:val="C3"/>
          <w:rFonts w:ascii="Times New Roman" w:hAnsi="Times New Roman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Порядок рассмотрения индивидуального трудового спора</w:t>
      </w:r>
    </w:p>
    <w:p>
      <w:pPr>
        <w:pStyle w:val="P1"/>
        <w:spacing w:lineRule="auto" w:line="240" w:after="0"/>
        <w:ind w:left="72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5.1. 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5.2. Работник и работодатель своевременно уведомляются КТС о месте, дате и времени заседания КТС.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5.3. 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5.4. Заседание КТС является правомочным, если на нем присутствовало не менее половины членов комиссии с каждой стороны.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5.5. 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5.6. Секретарь докладывает КТС, кто из вызванных по рассматриваемому делу лиц явился, извещены ли неявившиеся лица и какие имеются сведения о причинах их отсутствия.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5.7. Спор рассматривается в присутствии работника, подавшего заявление, или уполномоченного им представителя. 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Рассмотрение спора в отсутствие работника или его представителя допускается лишь по его письменному заявлению. 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В случае неявки работника или его представителя на заседание указанной комиссии рассмотрение трудового спора откладывается на другое время в пределах 10-дневного срока, установленного для рассмотрения трудового спора в КТС. 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О переносе даты рассмотрения спора своевременно уведомляется Работник и Работодатель.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5.8. Отсутствие представителя работодателя на заседании КТС не является причиной переноса рассмотрения дела. 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5.9. Рассмотрение дела по существу начинается с оглашения председателем КТС заявления работника. Затем 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5.10. 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 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5.11. 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служащих Учреждения.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5.12. Работник вправе в любое время до удаления комиссии для голосования отказаться от заявленных требований.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5.13. На заседании комиссии по трудовым спорам секретарем ведется протокол, в котором указывается: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 дата проведения заседания;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сведения о явке работника, работодателя, свидетелей, специалистов;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краткое изложение заявления работника;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краткие объяснения сторон, показания свидетелей, специалиста;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дополнительные заявления, сделанные работником;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представление письменных доказательств;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результаты обсуждения КТС;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результаты голосования.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Протокол подписывается председателем комиссии или его заместителем и заверяется печатью комиссии.</w:t>
      </w:r>
    </w:p>
    <w:p>
      <w:pPr>
        <w:pStyle w:val="P1"/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Порядок принятия решения КТС и его содержание</w:t>
      </w:r>
    </w:p>
    <w:p>
      <w:pPr>
        <w:pStyle w:val="P1"/>
        <w:spacing w:lineRule="auto" w:line="240" w:after="0"/>
        <w:ind w:left="72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6.1. 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6.2.  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6.3. Решение КТС должно быть выражено в категорической и четкой форме, не позволяющей толковать его по-другому или уклониться от его исполнения.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В решении по денежным требованиям указывается точная сумма, причитающаяся Работнику. 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6.4. Решение КТС включает вводную, описательную, мотивировочную и резолютивную части. 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В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В случае отказа в рассмотрении заявления Работника в связи с признанием неуважительными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6.5. Решение подписывается всеми членами комиссии, присутствовавшими на заседании, и заверяется печатью КТС.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6.6. 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6.7. 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 </w:t>
      </w:r>
    </w:p>
    <w:p>
      <w:pPr>
        <w:pStyle w:val="P1"/>
        <w:numPr>
          <w:ilvl w:val="0"/>
          <w:numId w:val="7"/>
        </w:num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Исполнение решений комиссии по трудовым спорам</w:t>
      </w:r>
    </w:p>
    <w:p>
      <w:pPr>
        <w:pStyle w:val="P1"/>
        <w:spacing w:lineRule="auto" w:line="240" w:after="0"/>
        <w:ind w:left="72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7.1. 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7.2.  В случае неисполнения решения комиссии в установленный срок работнику по его заявлению КТС выдает удостоверение, являющееся исполнительным документом. В удостоверении указываются: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наименование КТС;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дело или материалы, по которым выдано удостоверение, и их номера;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дата принятия решения КТС, подлежащего исполнению;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фамилия, имя, отчество взыскателя, его место жительства;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- наименование должника, его адрес; 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резолютивная часть решения КТС;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дата вступления в силу решения КТС;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дата выдачи удостоверения и срок предъявления его к исполнению.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Удостоверение подписывается председателем КТС и заверяется печатью комиссии.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7.3.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7.4.  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7.5. 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 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8. </w:t>
      </w:r>
      <w:r>
        <w:rPr>
          <w:rStyle w:val="C3"/>
          <w:rFonts w:ascii="Times New Roman" w:hAnsi="Times New Roman"/>
          <w:b w:val="1"/>
          <w:sz w:val="24"/>
        </w:rPr>
        <w:t xml:space="preserve">Обжалование решения </w:t>
      </w:r>
      <w:r>
        <w:rPr>
          <w:rStyle w:val="C3"/>
          <w:rFonts w:ascii="Times New Roman" w:hAnsi="Times New Roman"/>
          <w:b w:val="1"/>
          <w:sz w:val="24"/>
        </w:rPr>
        <w:t>КТС</w:t>
      </w:r>
      <w:r>
        <w:rPr>
          <w:rStyle w:val="C3"/>
          <w:rFonts w:ascii="Times New Roman" w:hAnsi="Times New Roman"/>
          <w:b w:val="1"/>
          <w:sz w:val="24"/>
        </w:rPr>
        <w:t xml:space="preserve"> и перенесение рассмотрения индивидуального трудового спора в суд</w:t>
      </w:r>
    </w:p>
    <w:p>
      <w:pPr>
        <w:pStyle w:val="P1"/>
        <w:spacing w:lineRule="auto" w:line="240" w:after="0"/>
        <w:ind w:left="72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8.1.  В случае, если индивидуальный трудовой спор не рассмотрен комиссией по трудовым спорам в десятидневный срок или голоса членов КТС при принятии решения по существу спора разделились, работник вправе перенести его рассмотрение в суд.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8.2. 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>8.3. 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  <w:r>
        <w:rPr>
          <w:rStyle w:val="C3"/>
          <w:rFonts w:ascii="Times New Roman" w:hAnsi="Times New Roman"/>
          <w:b w:val="1"/>
          <w:sz w:val="24"/>
        </w:rPr>
        <w:t> </w:t>
      </w:r>
    </w:p>
    <w:p>
      <w:pPr>
        <w:pStyle w:val="P1"/>
        <w:spacing w:lineRule="auto" w:line="300" w:after="0"/>
        <w:ind w:firstLine="567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9. </w:t>
      </w:r>
      <w:r>
        <w:rPr>
          <w:rStyle w:val="C3"/>
          <w:rFonts w:ascii="Times New Roman" w:hAnsi="Times New Roman"/>
          <w:b w:val="1"/>
          <w:sz w:val="24"/>
        </w:rPr>
        <w:t>Заключительные положения</w:t>
      </w:r>
    </w:p>
    <w:p>
      <w:pPr>
        <w:pStyle w:val="P1"/>
        <w:spacing w:lineRule="auto" w:line="240" w:after="0"/>
        <w:ind w:left="72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300" w:after="0"/>
        <w:ind w:firstLine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9.1. 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ind w:firstLine="567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</w:p>
    <w:sectPr>
      <w:type w:val="nextPage"/>
      <w:pgSz w:w="11906" w:h="16838" w:code="9"/>
      <w:pgMar w:left="1701" w:right="567" w:top="426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9A53036"/>
    <w:multiLevelType w:val="multilevel"/>
    <w:lvl w:ilvl="0">
      <w:start w:val="5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1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717743D"/>
    <w:multiLevelType w:val="multilevel"/>
    <w:lvl w:ilvl="0">
      <w:start w:val="7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1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1E597CC9"/>
    <w:multiLevelType w:val="multilevel"/>
    <w:lvl w:ilvl="0">
      <w:start w:val="4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1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">
    <w:nsid w:val="241168C3"/>
    <w:multiLevelType w:val="multilevel"/>
    <w:lvl w:ilvl="0">
      <w:start w:val="6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1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EED7E69"/>
    <w:multiLevelType w:val="multilevel"/>
    <w:lvl w:ilvl="0">
      <w:start w:val="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1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30B679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42F37CC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1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9127221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1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78E41D90"/>
    <w:multiLevelType w:val="multilevel"/>
    <w:lvl w:ilvl="0">
      <w:start w:val="8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1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</w:pPr>
    <w:rPr>
      <w:sz w:val="22"/>
    </w:rPr>
  </w:style>
  <w:style w:type="paragraph" w:styleId="P2">
    <w:name w:val="Текст выноски"/>
    <w:basedOn w:val="P1"/>
    <w:next w:val="P2"/>
    <w:link w:val="C4"/>
    <w:pPr>
      <w:spacing w:lineRule="auto" w:line="240" w:after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Текст выноски Знак"/>
    <w:link w:val="P2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